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2"/>
        <w:spacing w:line="240" w:lineRule="auto"/>
        <w:jc w:val="center"/>
        <w:rPr>
          <w:b w:val="1"/>
          <w:bCs w:val="1"/>
          <w:caps w:val="1"/>
          <w:sz w:val="28"/>
          <w:szCs w:val="28"/>
        </w:rPr>
      </w:pPr>
      <w:r>
        <w:rPr>
          <w:b w:val="1"/>
          <w:bCs w:val="1"/>
          <w:caps w:val="1"/>
          <w:sz w:val="28"/>
          <w:szCs w:val="28"/>
          <w:rtl w:val="0"/>
          <w:lang w:val="ru-RU"/>
        </w:rPr>
        <w:t>Заявка</w:t>
      </w:r>
    </w:p>
    <w:p>
      <w:pPr>
        <w:pStyle w:val="Обычный"/>
        <w:jc w:val="center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 w:hint="default"/>
          <w:sz w:val="28"/>
          <w:szCs w:val="28"/>
          <w:rtl w:val="0"/>
          <w:lang w:val="ru-RU"/>
        </w:rPr>
        <w:t xml:space="preserve"> На судейство</w:t>
      </w:r>
    </w:p>
    <w:p>
      <w:pPr>
        <w:pStyle w:val="Обычный"/>
        <w:jc w:val="center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 w:hint="default"/>
          <w:sz w:val="28"/>
          <w:szCs w:val="28"/>
          <w:rtl w:val="0"/>
          <w:lang w:val="ru-RU"/>
        </w:rPr>
        <w:t>открытые областные соревнования</w:t>
      </w:r>
    </w:p>
    <w:p>
      <w:pPr>
        <w:pStyle w:val="Обычный"/>
        <w:jc w:val="center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 w:hint="default"/>
          <w:sz w:val="28"/>
          <w:szCs w:val="28"/>
          <w:rtl w:val="0"/>
          <w:lang w:val="ru-RU"/>
        </w:rPr>
        <w:t xml:space="preserve"> «Кубок Дона»</w:t>
      </w:r>
    </w:p>
    <w:p>
      <w:pPr>
        <w:pStyle w:val="Обычный"/>
        <w:jc w:val="center"/>
        <w:rPr>
          <w:rFonts w:ascii="Cambria Bold" w:cs="Cambria Bold" w:hAnsi="Cambria Bold" w:eastAsia="Cambria Bold"/>
          <w:sz w:val="28"/>
          <w:szCs w:val="28"/>
        </w:rPr>
      </w:pPr>
      <w:r>
        <w:rPr>
          <w:rFonts w:ascii="Cambria Bold" w:hAnsi="Cambria Bold"/>
          <w:sz w:val="28"/>
          <w:szCs w:val="28"/>
          <w:rtl w:val="0"/>
          <w:lang w:val="ru-RU"/>
        </w:rPr>
        <w:t xml:space="preserve"> </w:t>
      </w:r>
      <w:r>
        <w:rPr>
          <w:rFonts w:ascii="Cambria Bold" w:hAnsi="Cambria Bold" w:hint="default"/>
          <w:sz w:val="28"/>
          <w:szCs w:val="28"/>
          <w:rtl w:val="0"/>
          <w:lang w:val="ru-RU"/>
        </w:rPr>
        <w:t xml:space="preserve">по киокусинкай 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0</w:t>
      </w:r>
      <w:r>
        <w:rPr>
          <w:b w:val="1"/>
          <w:bCs w:val="1"/>
          <w:sz w:val="28"/>
          <w:szCs w:val="28"/>
          <w:rtl w:val="0"/>
          <w:lang w:val="ru-RU"/>
        </w:rPr>
        <w:t>1-</w:t>
      </w:r>
      <w:r>
        <w:rPr>
          <w:b w:val="1"/>
          <w:bCs w:val="1"/>
          <w:sz w:val="28"/>
          <w:szCs w:val="28"/>
          <w:rtl w:val="0"/>
          <w:lang w:val="ru-RU"/>
        </w:rPr>
        <w:t xml:space="preserve"> 0</w:t>
      </w: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ноября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2024  </w:t>
      </w: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Default"/>
        <w:jc w:val="center"/>
      </w:pP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Ростов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на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Дону</w:t>
      </w:r>
    </w:p>
    <w:p>
      <w:pPr>
        <w:pStyle w:val="Обычный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153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1"/>
        <w:gridCol w:w="4285"/>
        <w:gridCol w:w="1882"/>
        <w:gridCol w:w="1557"/>
        <w:gridCol w:w="3320"/>
        <w:gridCol w:w="2070"/>
        <w:gridCol w:w="1778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Квалификация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Дан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Кю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Судейская категория</w:t>
            </w:r>
          </w:p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Субъект РФ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Организация</w:t>
            </w:r>
          </w:p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Контактный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ru-RU"/>
              </w:rPr>
              <w:t>Номер тел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clear" w:color="auto" w:fill="ffffff"/>
                <w:rtl w:val="0"/>
                <w:lang w:val="ru-RU"/>
              </w:rPr>
              <w:t xml:space="preserve"> </w:t>
            </w:r>
          </w:p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clear" w:color="auto" w:fill="ffffff"/>
                <w:rtl w:val="0"/>
                <w:lang w:val="ru-RU"/>
              </w:rPr>
              <w:t xml:space="preserve"> </w:t>
            </w:r>
          </w:p>
        </w:tc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center"/>
      </w:pPr>
      <w:r>
        <w:rPr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851" w:right="567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2">
    <w:name w:val="FR2"/>
    <w:next w:val="FR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